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94" w:rsidRPr="002C4C46" w:rsidRDefault="00341094" w:rsidP="004D7C3C">
      <w:pPr>
        <w:pStyle w:val="Estilo1"/>
        <w:spacing w:after="0" w:line="360" w:lineRule="auto"/>
        <w:rPr>
          <w:sz w:val="24"/>
          <w:szCs w:val="24"/>
        </w:rPr>
      </w:pPr>
      <w:bookmarkStart w:id="0" w:name="_GoBack"/>
      <w:bookmarkEnd w:id="0"/>
      <w:r w:rsidRPr="0044355C">
        <w:rPr>
          <w:sz w:val="24"/>
          <w:szCs w:val="24"/>
        </w:rPr>
        <w:t>(Es el anexo II de la convocatoria)</w:t>
      </w:r>
    </w:p>
    <w:tbl>
      <w:tblPr>
        <w:tblStyle w:val="Tablaconcuadrcula"/>
        <w:tblW w:w="9498" w:type="dxa"/>
        <w:tblInd w:w="-431" w:type="dxa"/>
        <w:tblLook w:val="04A0" w:firstRow="1" w:lastRow="0" w:firstColumn="1" w:lastColumn="0" w:noHBand="0" w:noVBand="1"/>
      </w:tblPr>
      <w:tblGrid>
        <w:gridCol w:w="6096"/>
        <w:gridCol w:w="1418"/>
        <w:gridCol w:w="1984"/>
      </w:tblGrid>
      <w:tr w:rsidR="00780577" w:rsidTr="004A46D3">
        <w:tc>
          <w:tcPr>
            <w:tcW w:w="9498"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rsidTr="004A46D3">
        <w:tc>
          <w:tcPr>
            <w:tcW w:w="9498"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rsidTr="004A46D3">
        <w:tc>
          <w:tcPr>
            <w:tcW w:w="9498"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4A46D3">
        <w:tc>
          <w:tcPr>
            <w:tcW w:w="9498"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rPr>
              <w:t xml:space="preserve">Declaración </w:t>
            </w:r>
            <w:r w:rsidR="00ED7911">
              <w:rPr>
                <w:rFonts w:ascii="Calibri" w:hAnsi="Calibri" w:cs="Calibri"/>
                <w:i/>
                <w:sz w:val="20"/>
                <w:szCs w:val="20"/>
              </w:rPr>
              <w:t xml:space="preserve">responsable </w:t>
            </w:r>
            <w:r w:rsidRPr="002D7F52">
              <w:rPr>
                <w:rFonts w:ascii="Calibri" w:hAnsi="Calibri" w:cs="Calibri"/>
                <w:i/>
                <w:sz w:val="20"/>
                <w:szCs w:val="20"/>
              </w:rPr>
              <w:t>del cumplimiento de las condiciones de participación (Anexo)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4A46D3">
        <w:tc>
          <w:tcPr>
            <w:tcW w:w="9498"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4A46D3">
        <w:tc>
          <w:tcPr>
            <w:tcW w:w="6096" w:type="dxa"/>
          </w:tcPr>
          <w:p w:rsidR="00121F72" w:rsidRPr="00186651" w:rsidRDefault="00121F72" w:rsidP="00121F72">
            <w:pPr>
              <w:rPr>
                <w:rFonts w:ascii="Calibri" w:hAnsi="Calibri" w:cs="Calibri"/>
                <w:b/>
                <w:i/>
                <w:color w:val="FF0000"/>
                <w:highlight w:val="yellow"/>
              </w:rPr>
            </w:pPr>
            <w:r w:rsidRPr="00186651">
              <w:rPr>
                <w:rFonts w:ascii="Calibri" w:hAnsi="Calibri" w:cs="Calibri"/>
                <w:b/>
                <w:i/>
                <w:color w:val="FF0000"/>
                <w:highlight w:val="yellow"/>
              </w:rPr>
              <w:t>[Si la Cámara está dada de alta en el Sistema de verificación del estado de AEAT y SS y quiere realizar las consultas telemáticamente, puede dejar esta autorización.</w:t>
            </w:r>
            <w:r>
              <w:rPr>
                <w:rFonts w:ascii="Calibri" w:hAnsi="Calibri" w:cs="Calibri"/>
                <w:b/>
                <w:i/>
                <w:color w:val="FF0000"/>
                <w:highlight w:val="yellow"/>
              </w:rPr>
              <w:t>]</w:t>
            </w:r>
            <w:r w:rsidRPr="00186651">
              <w:rPr>
                <w:rFonts w:ascii="Calibri" w:hAnsi="Calibri" w:cs="Calibri"/>
                <w:b/>
                <w:i/>
                <w:color w:val="FF0000"/>
                <w:highlight w:val="yellow"/>
              </w:rPr>
              <w:t xml:space="preserve"> </w:t>
            </w:r>
          </w:p>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2C4C46" w:rsidRDefault="002C4C46"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4A46D3">
        <w:tc>
          <w:tcPr>
            <w:tcW w:w="9498" w:type="dxa"/>
            <w:gridSpan w:val="3"/>
          </w:tcPr>
          <w:p w:rsidR="00780577" w:rsidRDefault="00780577" w:rsidP="00780577">
            <w:pPr>
              <w:pStyle w:val="Textoindependiente"/>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p w:rsidR="004A46D3" w:rsidRDefault="004A46D3" w:rsidP="000634B5">
      <w:pPr>
        <w:pStyle w:val="Estilo1"/>
        <w:spacing w:after="0" w:line="360" w:lineRule="auto"/>
        <w:rPr>
          <w:b/>
          <w:sz w:val="24"/>
          <w:szCs w:val="24"/>
        </w:rPr>
      </w:pPr>
    </w:p>
    <w:tbl>
      <w:tblPr>
        <w:tblW w:w="97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06"/>
        <w:gridCol w:w="430"/>
        <w:gridCol w:w="31"/>
        <w:gridCol w:w="1137"/>
        <w:gridCol w:w="332"/>
        <w:gridCol w:w="125"/>
        <w:gridCol w:w="960"/>
        <w:gridCol w:w="414"/>
        <w:gridCol w:w="964"/>
        <w:gridCol w:w="460"/>
        <w:gridCol w:w="75"/>
        <w:gridCol w:w="2056"/>
      </w:tblGrid>
      <w:tr w:rsidR="00292990" w:rsidRPr="00EC310B" w:rsidTr="004A46D3">
        <w:trPr>
          <w:cantSplit/>
        </w:trPr>
        <w:tc>
          <w:tcPr>
            <w:tcW w:w="9714"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rsidTr="004A46D3">
        <w:trPr>
          <w:trHeight w:val="903"/>
        </w:trPr>
        <w:tc>
          <w:tcPr>
            <w:tcW w:w="4328"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2A171D">
              <w:rPr>
                <w:sz w:val="16"/>
              </w:rPr>
            </w:r>
            <w:r w:rsidR="002A171D">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2A171D">
              <w:rPr>
                <w:sz w:val="16"/>
              </w:rPr>
            </w:r>
            <w:r w:rsidR="002A171D">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rsidTr="004A46D3">
        <w:trPr>
          <w:trHeight w:val="701"/>
        </w:trPr>
        <w:tc>
          <w:tcPr>
            <w:tcW w:w="2624"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697"/>
        </w:trPr>
        <w:tc>
          <w:tcPr>
            <w:tcW w:w="3191"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rsidTr="004A46D3">
        <w:tc>
          <w:tcPr>
            <w:tcW w:w="2730"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c>
          <w:tcPr>
            <w:tcW w:w="4785"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458"/>
        </w:trPr>
        <w:tc>
          <w:tcPr>
            <w:tcW w:w="9714"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rsidTr="004A46D3">
        <w:tc>
          <w:tcPr>
            <w:tcW w:w="3160"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rsidTr="004A46D3">
        <w:tc>
          <w:tcPr>
            <w:tcW w:w="9714"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6871"/>
      </w:tblGrid>
      <w:tr w:rsidR="000634B5" w:rsidRPr="00EC310B" w:rsidTr="004A46D3">
        <w:trPr>
          <w:cantSplit/>
          <w:trHeight w:val="359"/>
        </w:trPr>
        <w:tc>
          <w:tcPr>
            <w:tcW w:w="9639"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4A46D3">
        <w:tblPrEx>
          <w:tblCellMar>
            <w:left w:w="108" w:type="dxa"/>
            <w:right w:w="108" w:type="dxa"/>
          </w:tblCellMar>
          <w:tblLook w:val="04A0" w:firstRow="1" w:lastRow="0" w:firstColumn="1" w:lastColumn="0" w:noHBand="0" w:noVBand="1"/>
        </w:tblPrEx>
        <w:tc>
          <w:tcPr>
            <w:tcW w:w="2768"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1842"/>
      </w:tblGrid>
      <w:tr w:rsidR="0063635B" w:rsidRPr="00EC310B" w:rsidTr="004A46D3">
        <w:trPr>
          <w:trHeight w:val="529"/>
        </w:trPr>
        <w:tc>
          <w:tcPr>
            <w:tcW w:w="9639" w:type="dxa"/>
            <w:gridSpan w:val="2"/>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lastRenderedPageBreak/>
              <w:t>Fases de participación</w:t>
            </w: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Xpande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1842" w:type="dxa"/>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4A46D3">
        <w:tblPrEx>
          <w:shd w:val="clear" w:color="auto" w:fill="auto"/>
          <w:tblLook w:val="04A0" w:firstRow="1" w:lastRow="0" w:firstColumn="1" w:lastColumn="0" w:noHBand="0" w:noVBand="1"/>
        </w:tblPrEx>
        <w:trPr>
          <w:trHeight w:val="506"/>
        </w:trPr>
        <w:tc>
          <w:tcPr>
            <w:tcW w:w="9639"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4A46D3">
        <w:tblPrEx>
          <w:shd w:val="clear" w:color="auto" w:fill="auto"/>
          <w:tblLook w:val="04A0" w:firstRow="1" w:lastRow="0" w:firstColumn="1" w:lastColumn="0" w:noHBand="0" w:noVBand="1"/>
        </w:tblPrEx>
        <w:trPr>
          <w:trHeight w:val="689"/>
        </w:trPr>
        <w:tc>
          <w:tcPr>
            <w:tcW w:w="7797"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842"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1842" w:type="dxa"/>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w:t>
            </w:r>
            <w:r w:rsidRPr="006F102D">
              <w:rPr>
                <w:rFonts w:asciiTheme="minorHAnsi" w:hAnsiTheme="minorHAnsi" w:cstheme="minorHAnsi"/>
              </w:rPr>
              <w:lastRenderedPageBreak/>
              <w:t xml:space="preserve">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1842" w:type="dxa"/>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Pr="00CC09B9" w:rsidRDefault="00222BA1" w:rsidP="0063635B">
      <w:pPr>
        <w:tabs>
          <w:tab w:val="left" w:pos="1155"/>
        </w:tabs>
        <w:rPr>
          <w:rFonts w:cs="Arial"/>
        </w:rPr>
      </w:pPr>
      <w:r>
        <w:lastRenderedPageBreak/>
        <w:br/>
      </w:r>
      <w:r w:rsidR="0063635B"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Programa Operativo Plurirregional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p w:rsidR="004A46D3" w:rsidRDefault="004A46D3" w:rsidP="004A46D3">
      <w:pPr>
        <w:tabs>
          <w:tab w:val="left" w:pos="1155"/>
        </w:tabs>
        <w:suppressAutoHyphens/>
        <w:adjustRightInd/>
        <w:rPr>
          <w:rFonts w:cs="Arial"/>
          <w:sz w:val="16"/>
          <w:szCs w:val="16"/>
          <w:lang w:eastAsia="zh-CN"/>
        </w:rPr>
      </w:pPr>
    </w:p>
    <w:p w:rsidR="004A46D3" w:rsidRPr="00F948E7" w:rsidRDefault="004A46D3" w:rsidP="004A46D3">
      <w:pPr>
        <w:tabs>
          <w:tab w:val="left" w:pos="1155"/>
        </w:tabs>
        <w:suppressAutoHyphens/>
        <w:adjustRightInd/>
        <w:rPr>
          <w:rFonts w:cs="Arial"/>
          <w:lang w:eastAsia="zh-CN"/>
        </w:rPr>
      </w:pPr>
      <w:r w:rsidRPr="00F948E7">
        <w:rPr>
          <w:rFonts w:cs="Arial"/>
          <w:sz w:val="16"/>
          <w:szCs w:val="16"/>
          <w:lang w:eastAsia="zh-CN"/>
        </w:rPr>
        <w:t xml:space="preserve">Los datos personales proporcionados con la finalidad de participar en el Programa XPANDE, dentro del “Programa Operativo Plurirregional de España – FEDER 2014-2020” serán tratados por Cámara de España y Cámara de Comercio de   </w:t>
      </w:r>
      <w:r w:rsidRPr="00F948E7">
        <w:rPr>
          <w:rFonts w:cs="Arial"/>
          <w:sz w:val="16"/>
          <w:szCs w:val="16"/>
          <w:shd w:val="clear" w:color="auto" w:fill="FFFF00"/>
          <w:lang w:eastAsia="zh-CN"/>
        </w:rPr>
        <w:t xml:space="preserve">                          </w:t>
      </w:r>
      <w:r w:rsidRPr="00F948E7">
        <w:rPr>
          <w:rFonts w:cs="Arial"/>
          <w:sz w:val="16"/>
          <w:szCs w:val="16"/>
          <w:lang w:eastAsia="zh-CN"/>
        </w:rPr>
        <w:t xml:space="preserve">  en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A46D3" w:rsidRPr="00F948E7" w:rsidRDefault="004A46D3" w:rsidP="004A46D3">
      <w:pPr>
        <w:tabs>
          <w:tab w:val="left" w:pos="1155"/>
        </w:tabs>
        <w:suppressAutoHyphens/>
        <w:adjustRightInd/>
        <w:spacing w:before="120"/>
        <w:rPr>
          <w:rFonts w:cs="Arial"/>
          <w:lang w:eastAsia="zh-CN"/>
        </w:rPr>
      </w:pPr>
      <w:r w:rsidRPr="00F948E7">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A46D3" w:rsidRPr="00F948E7" w:rsidRDefault="004A46D3" w:rsidP="004A46D3">
      <w:pPr>
        <w:tabs>
          <w:tab w:val="left" w:pos="1155"/>
        </w:tabs>
        <w:suppressAutoHyphens/>
        <w:adjustRightInd/>
        <w:rPr>
          <w:rFonts w:cs="Arial"/>
          <w:sz w:val="16"/>
          <w:szCs w:val="16"/>
          <w:lang w:eastAsia="zh-CN"/>
        </w:rPr>
      </w:pPr>
    </w:p>
    <w:p w:rsidR="004A46D3" w:rsidRPr="003448DA" w:rsidRDefault="004A46D3" w:rsidP="004A46D3">
      <w:pPr>
        <w:tabs>
          <w:tab w:val="left" w:pos="1155"/>
        </w:tabs>
        <w:suppressAutoHyphens/>
        <w:adjustRightInd/>
        <w:rPr>
          <w:rFonts w:cs="Arial"/>
          <w:lang w:eastAsia="zh-CN"/>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 </w:t>
      </w:r>
      <w:r w:rsidRPr="00F948E7">
        <w:rPr>
          <w:rFonts w:eastAsia="Calibri" w:cs="Arial"/>
          <w:bCs w:val="0"/>
          <w:color w:val="000000"/>
          <w:kern w:val="1"/>
          <w:sz w:val="16"/>
          <w:szCs w:val="16"/>
          <w:lang w:eastAsia="zh-CN"/>
        </w:rPr>
        <w:t>[</w:t>
      </w:r>
      <w:r w:rsidR="00644058" w:rsidRPr="00F948E7">
        <w:rPr>
          <w:rFonts w:eastAsia="Calibri" w:cs="Arial"/>
          <w:bCs w:val="0"/>
          <w:color w:val="000000"/>
          <w:kern w:val="1"/>
          <w:sz w:val="16"/>
          <w:szCs w:val="16"/>
          <w:shd w:val="clear" w:color="auto" w:fill="FFFF00"/>
          <w:lang w:eastAsia="zh-CN"/>
        </w:rPr>
        <w:t>DEFINIR CORREO ELECTRÓNICO</w:t>
      </w:r>
      <w:r w:rsidRPr="00F948E7">
        <w:rPr>
          <w:rFonts w:eastAsia="Calibri" w:cs="Arial"/>
          <w:bCs w:val="0"/>
          <w:color w:val="000000"/>
          <w:kern w:val="1"/>
          <w:sz w:val="16"/>
          <w:szCs w:val="16"/>
          <w:lang w:eastAsia="zh-CN"/>
        </w:rPr>
        <w:t>]</w:t>
      </w:r>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p>
    <w:p w:rsidR="009F074C" w:rsidRDefault="009F074C" w:rsidP="0063635B">
      <w:pPr>
        <w:tabs>
          <w:tab w:val="left" w:pos="1155"/>
        </w:tabs>
        <w:rPr>
          <w:rFonts w:cs="Arial"/>
        </w:rPr>
      </w:pPr>
    </w:p>
    <w:p w:rsidR="009F074C" w:rsidRDefault="009F074C" w:rsidP="0063635B">
      <w:pPr>
        <w:tabs>
          <w:tab w:val="left" w:pos="1155"/>
        </w:tabs>
        <w:rPr>
          <w:rFonts w:cs="Arial"/>
        </w:rPr>
      </w:pPr>
    </w:p>
    <w:p w:rsidR="009F074C" w:rsidRDefault="009F074C" w:rsidP="0063635B">
      <w:pPr>
        <w:tabs>
          <w:tab w:val="left" w:pos="1155"/>
        </w:tabs>
        <w:rPr>
          <w:rFonts w:cs="Arial"/>
        </w:rPr>
      </w:pPr>
    </w:p>
    <w:sectPr w:rsidR="009F074C" w:rsidSect="004A46D3">
      <w:headerReference w:type="default" r:id="rId9"/>
      <w:footerReference w:type="even" r:id="rId10"/>
      <w:footerReference w:type="default" r:id="rId11"/>
      <w:footerReference w:type="firs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1D" w:rsidRDefault="002A171D">
      <w:r>
        <w:separator/>
      </w:r>
    </w:p>
  </w:endnote>
  <w:endnote w:type="continuationSeparator" w:id="0">
    <w:p w:rsidR="002A171D" w:rsidRDefault="002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E650A">
            <w:rPr>
              <w:lang w:val="es-ES_tradnl"/>
            </w:rPr>
            <w:t>119</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594588">
            <w:rPr>
              <w:rStyle w:val="Nmerodepgina"/>
              <w:noProof/>
            </w:rPr>
            <w:t>1</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1D" w:rsidRDefault="002A171D">
      <w:r>
        <w:separator/>
      </w:r>
    </w:p>
  </w:footnote>
  <w:footnote w:type="continuationSeparator" w:id="0">
    <w:p w:rsidR="002A171D" w:rsidRDefault="002A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BD" w:rsidRDefault="009B2AA0" w:rsidP="009B2AA0">
    <w:pPr>
      <w:pStyle w:val="Encabezado"/>
      <w:tabs>
        <w:tab w:val="clear" w:pos="4252"/>
      </w:tabs>
    </w:pPr>
    <w:r>
      <w:rPr>
        <w:noProof/>
        <w:lang w:eastAsia="es-ES"/>
      </w:rPr>
      <w:drawing>
        <wp:anchor distT="0" distB="0" distL="114300" distR="114300" simplePos="0" relativeHeight="251659264" behindDoc="0" locked="0" layoutInCell="1" allowOverlap="1" wp14:anchorId="7ACC0B53" wp14:editId="00DB5E33">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7133A"/>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2BA1"/>
    <w:rsid w:val="00227BF4"/>
    <w:rsid w:val="00236B47"/>
    <w:rsid w:val="002400C4"/>
    <w:rsid w:val="00242D71"/>
    <w:rsid w:val="00242F5E"/>
    <w:rsid w:val="00247840"/>
    <w:rsid w:val="00251DBE"/>
    <w:rsid w:val="00257FA7"/>
    <w:rsid w:val="00257FFA"/>
    <w:rsid w:val="00274E40"/>
    <w:rsid w:val="00292990"/>
    <w:rsid w:val="002A171D"/>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E650A"/>
    <w:rsid w:val="003F13D4"/>
    <w:rsid w:val="003F4364"/>
    <w:rsid w:val="003F5AC7"/>
    <w:rsid w:val="00411663"/>
    <w:rsid w:val="00413BA3"/>
    <w:rsid w:val="004239A8"/>
    <w:rsid w:val="00432F48"/>
    <w:rsid w:val="0044355C"/>
    <w:rsid w:val="0044689F"/>
    <w:rsid w:val="00452A28"/>
    <w:rsid w:val="00462505"/>
    <w:rsid w:val="004639F4"/>
    <w:rsid w:val="00464690"/>
    <w:rsid w:val="00472C03"/>
    <w:rsid w:val="00483FB7"/>
    <w:rsid w:val="004865C8"/>
    <w:rsid w:val="00490869"/>
    <w:rsid w:val="004A46D3"/>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4588"/>
    <w:rsid w:val="00595FA1"/>
    <w:rsid w:val="005A20D5"/>
    <w:rsid w:val="005C6118"/>
    <w:rsid w:val="005E1006"/>
    <w:rsid w:val="005F189C"/>
    <w:rsid w:val="005F5CB7"/>
    <w:rsid w:val="005F5F51"/>
    <w:rsid w:val="005F7845"/>
    <w:rsid w:val="0060712E"/>
    <w:rsid w:val="0060763C"/>
    <w:rsid w:val="006311CD"/>
    <w:rsid w:val="0063635B"/>
    <w:rsid w:val="00644058"/>
    <w:rsid w:val="006502DC"/>
    <w:rsid w:val="00656A47"/>
    <w:rsid w:val="006571F3"/>
    <w:rsid w:val="00657CFB"/>
    <w:rsid w:val="00676118"/>
    <w:rsid w:val="00683C77"/>
    <w:rsid w:val="00690009"/>
    <w:rsid w:val="006A7E19"/>
    <w:rsid w:val="006B01ED"/>
    <w:rsid w:val="006B16F5"/>
    <w:rsid w:val="006C0FCC"/>
    <w:rsid w:val="006C6C20"/>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4032"/>
    <w:rsid w:val="00A67543"/>
    <w:rsid w:val="00A77BEC"/>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948E7"/>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B7BD-7248-4247-A5F3-21DE9102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Usuario</cp:lastModifiedBy>
  <cp:revision>2</cp:revision>
  <cp:lastPrinted>2018-04-11T15:56:00Z</cp:lastPrinted>
  <dcterms:created xsi:type="dcterms:W3CDTF">2019-10-11T07:43:00Z</dcterms:created>
  <dcterms:modified xsi:type="dcterms:W3CDTF">2019-10-11T07:43:00Z</dcterms:modified>
</cp:coreProperties>
</file>